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12.08.2020 N 965</w:t>
              <w:br/>
              <w:t xml:space="preserve">(ред. от 27.02.2023)</w:t>
              <w:br/>
              <w:t xml:space="preserve">"Об утверждении федерального государственного образовательного стандарта высшего образования - специалитет по специальности 31.05.02 Педиатрия"</w:t>
              <w:br/>
              <w:t xml:space="preserve">(Зарегистрировано в Минюсте России 25.08.2020 N 59452)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России 25 августа 2020 г. N 59452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НАУКИ И ВЫСШЕГО ОБРАЗОВАНИЯ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12 августа 2020 г. N 965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ВЫСШЕГО ОБРАЗОВАНИЯ - СПЕЦИАЛИТЕТ ПО СПЕЦИАЛЬНОСТИ</w:t>
      </w:r>
    </w:p>
    <w:p>
      <w:pPr>
        <w:pStyle w:val="2"/>
        <w:jc w:val="center"/>
      </w:pPr>
      <w:r>
        <w:rPr>
          <w:sz w:val="20"/>
        </w:rPr>
        <w:t xml:space="preserve">31.05.02 ПЕДИАТРИЯ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26.11.2020 </w:t>
            </w:r>
            <w:hyperlink w:history="0" r:id="rId8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N 1456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19.07.2022 </w:t>
            </w:r>
            <w:hyperlink w:history="0" r:id="rId9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sz w:val="20"/>
                  <w:color w:val="0000ff"/>
                </w:rPr>
                <w:t xml:space="preserve">N 662</w:t>
              </w:r>
            </w:hyperlink>
            <w:r>
              <w:rPr>
                <w:sz w:val="20"/>
                <w:color w:val="392c69"/>
              </w:rPr>
              <w:t xml:space="preserve">, от 27.02.2023 </w:t>
            </w:r>
            <w:hyperlink w:history="0" r:id="rId10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N 208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Постановление Правительства РФ от 15.06.2018 N 682 (ред. от 12.02.2026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подпунктом 4.2.38 пункта 4.2</w:t>
        </w:r>
      </w:hyperlink>
      <w:r>
        <w:rPr>
          <w:sz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2020, N 13, ст. 1944), и </w:t>
      </w:r>
      <w:hyperlink w:history="0" r:id="rId12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27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9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высшего образования - специалитет по специальности 31.05.02 Педиатрия (далее - стандарт).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образовательная организация высшего образования вправе осуществлять в соответствии со </w:t>
      </w:r>
      <w:hyperlink w:history="0" w:anchor="P39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обучение лиц, зачисленных до вступления в силу настоящего приказа, с их согласия;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на обучение в соответствии с федеральным государственным образовательным </w:t>
      </w:r>
      <w:hyperlink w:history="0" r:id="rId13" w:tooltip="Приказ Минобрнауки России от 17.08.2015 N 853 &quot;Об утверждении федерального государственного образовательного стандарта высшего образования по специальности 31.05.02 Педиатрия (уровень специалитета)&quot; (Зарегистрировано в Минюсте России 15.09.2015 N 38880) {КонсультантПлюс}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высшего образования по специальности 31.05.02 Педиатрия (уровень специалитета), утвержденным приказом Министерства образования и науки Российской Федерации от 17 августа 2015 г. N 853 (зарегистрирован Министерством юстиции Российской Федерации 15 сентября 2015 г., регистрационный N 38880), прекращается 31 декабря 2020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</w:t>
      </w:r>
    </w:p>
    <w:p>
      <w:pPr>
        <w:pStyle w:val="0"/>
        <w:jc w:val="right"/>
      </w:pPr>
      <w:r>
        <w:rPr>
          <w:sz w:val="20"/>
        </w:rPr>
        <w:t xml:space="preserve">А.В.НАРУКАВНИКОВ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науки</w:t>
      </w:r>
    </w:p>
    <w:p>
      <w:pPr>
        <w:pStyle w:val="0"/>
        <w:jc w:val="right"/>
      </w:pPr>
      <w:r>
        <w:rPr>
          <w:sz w:val="20"/>
        </w:rPr>
        <w:t xml:space="preserve">и высшего образования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августа 2020 г. N 965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ВЫСШЕГО ОБРАЗОВАНИЯ - СПЕЦИАЛИТЕТ ПО СПЕЦИАЛЬНОСТИ</w:t>
      </w:r>
    </w:p>
    <w:p>
      <w:pPr>
        <w:pStyle w:val="2"/>
        <w:jc w:val="center"/>
      </w:pPr>
      <w:r>
        <w:rPr>
          <w:sz w:val="20"/>
        </w:rPr>
        <w:t xml:space="preserve">31.05.02 ПЕДИАТРИЯ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26.11.2020 </w:t>
            </w:r>
            <w:hyperlink w:history="0" r:id="rId14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N 1456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19.07.2022 </w:t>
            </w:r>
            <w:hyperlink w:history="0" r:id="rId15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sz w:val="20"/>
                  <w:color w:val="0000ff"/>
                </w:rPr>
                <w:t xml:space="preserve">N 662</w:t>
              </w:r>
            </w:hyperlink>
            <w:r>
              <w:rPr>
                <w:sz w:val="20"/>
                <w:color w:val="392c69"/>
              </w:rPr>
              <w:t xml:space="preserve">, от 27.02.2023 </w:t>
            </w:r>
            <w:hyperlink w:history="0" r:id="rId16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N 208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специалитета по специальности 31.05.02 Педиатрия (далее соответственно - программа специалитета, специальность).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Обучение по программе специалитета в Организации осуществляется в очной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Содержание высшего образования по специальности определяется программой специалитета, разрабатываемой и утверждаемой Организацией самостоятельно. При разработке программы специалитета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разрабатывает программу специалитета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При реализации программы специалитета Организация вправе применять электронное обучение, дистанционные образовательные технологии.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Реализация программы специалитета с применением исключительно электронного обучения, дистанционных образовательных технологий не допускается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17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3 статьи 16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1.6. Реализация программы специалитета осуществляется Организацией как самостоятельно, так и посредством сетевой формы.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Программа специалитета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18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Статья 14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>
      <w:pPr>
        <w:pStyle w:val="0"/>
        <w:jc w:val="both"/>
      </w:pPr>
      <w:r>
        <w:rPr>
          <w:sz w:val="20"/>
        </w:rPr>
      </w:r>
    </w:p>
    <w:bookmarkStart w:id="64" w:name="P64"/>
    <w:bookmarkEnd w:id="64"/>
    <w:p>
      <w:pPr>
        <w:pStyle w:val="0"/>
        <w:ind w:firstLine="540"/>
        <w:jc w:val="both"/>
      </w:pPr>
      <w:r>
        <w:rPr>
          <w:sz w:val="20"/>
        </w:rPr>
        <w:t xml:space="preserve">1.8. Срок получения образования по программе специалитета (вне зависимости от применяемых образовательных технологий):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включая каникулы, предоставляемые после прохождения государственной итоговой аттестации, составляет 6 лет;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обучении по индивидуальному учебному плану инвалидов и лиц с ОВЗ может быть увеличен по их заявлению не более чем на 1 год.</w:t>
      </w:r>
    </w:p>
    <w:bookmarkStart w:id="67" w:name="P67"/>
    <w:bookmarkEnd w:id="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1.9. Объем программы специалитета составляет 360 зачетных единиц (далее - з.е.)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специалитета, реализуемый за один учебный год, составляет не более 70 з.е.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 (за исключением ускоренного обучения), а при ускоренном обучении - не более 80 з.е.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1.10. Организация самостоятельно определяет в пределах сроков и объемов, установленных </w:t>
      </w:r>
      <w:hyperlink w:history="0" w:anchor="P64" w:tooltip="1.8. Срок получения образования по программе специалитета (вне зависимости от применяемых образовательных технологий):">
        <w:r>
          <w:rPr>
            <w:sz w:val="20"/>
            <w:color w:val="0000ff"/>
          </w:rPr>
          <w:t xml:space="preserve">пунктами 1.8</w:t>
        </w:r>
      </w:hyperlink>
      <w:r>
        <w:rPr>
          <w:sz w:val="20"/>
        </w:rPr>
        <w:t xml:space="preserve"> и </w:t>
      </w:r>
      <w:hyperlink w:history="0" w:anchor="P67" w:tooltip="1.9. Объем программы специалитета составляет 360 зачетных единиц (далее - з.е.)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">
        <w:r>
          <w:rPr>
            <w:sz w:val="20"/>
            <w:color w:val="0000ff"/>
          </w:rPr>
          <w:t xml:space="preserve">1.9</w:t>
        </w:r>
      </w:hyperlink>
      <w:r>
        <w:rPr>
          <w:sz w:val="20"/>
        </w:rPr>
        <w:t xml:space="preserve"> ФГОС 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получения образования по программе специалитета по индивидуальному учебному плану, в том числе при ускоренном обучении;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специалитета, реализуемый за один учебный год.</w:t>
      </w:r>
    </w:p>
    <w:bookmarkStart w:id="72" w:name="P72"/>
    <w:bookmarkEnd w:id="7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1.11. Области профессиональной деятельности &lt;3&gt; и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19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Таблица</w:t>
        </w:r>
      </w:hyperlink>
      <w:r>
        <w:rPr>
          <w:sz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hyperlink w:history="0" r:id="rId20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02</w:t>
        </w:r>
      </w:hyperlink>
      <w:r>
        <w:rPr>
          <w:sz w:val="20"/>
        </w:rPr>
        <w:t xml:space="preserve"> Здравоохранение (в сфере оказания первичной медико-санитарной помощи, специализированной, скорой, паллиативной медицинской помощи детям, включающей мероприятия по профилактике, диагностике, лечению заболеваний и состояний, медицинской реабилитации, формированию здорового образа жизни и санитарно-гигиеническому просвещению населения);</w:t>
      </w:r>
    </w:p>
    <w:p>
      <w:pPr>
        <w:pStyle w:val="0"/>
        <w:spacing w:before="200" w:lineRule="auto"/>
        <w:ind w:firstLine="540"/>
        <w:jc w:val="both"/>
      </w:pPr>
      <w:hyperlink w:history="0" r:id="rId21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07</w:t>
        </w:r>
      </w:hyperlink>
      <w:r>
        <w:rPr>
          <w:sz w:val="20"/>
        </w:rPr>
        <w:t xml:space="preserve"> Административно-управленческая и офисная деятельность (в сфере деятельности организаций здравоохранения).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bookmarkStart w:id="79" w:name="P79"/>
    <w:bookmarkEnd w:id="7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1.12. В рамках освоения программы специалитета выпускники могут готовиться к решению задач профессиональной деятельности следующих типов: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диагностический;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лечебный;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реабилитационный;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профилактический;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организационно-управленческий.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1.13. При разработке программы специалитета Организация устанавливает направленность (профиль) программы специалитета, которая соответствует специальности в целом или конкретизирует содержание программы специалитета в рамках специальности путем ориентации ее на: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область (области) профессиональной деятельности и сферу (сферы) профессиональной деятельности выпускников;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 (типы) задач и задачи профессиональной деятельности выпускников;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необходимости - на объекты профессиональной деятельности выпускников или область (области) знания.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1.14. Программа специалитета,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к структуре 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Структура программы специалитета включает следующие блоки:</w:t>
      </w:r>
    </w:p>
    <w:p>
      <w:pPr>
        <w:pStyle w:val="0"/>
        <w:spacing w:before="200" w:lineRule="auto"/>
        <w:ind w:firstLine="540"/>
        <w:jc w:val="both"/>
      </w:pPr>
      <w:hyperlink w:history="0" w:anchor="P104" w:tooltip="Блок 1">
        <w:r>
          <w:rPr>
            <w:sz w:val="20"/>
            <w:color w:val="0000ff"/>
          </w:rPr>
          <w:t xml:space="preserve">Блок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hyperlink w:history="0" w:anchor="P107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"Практика";</w:t>
      </w:r>
    </w:p>
    <w:p>
      <w:pPr>
        <w:pStyle w:val="0"/>
        <w:spacing w:before="200" w:lineRule="auto"/>
        <w:ind w:firstLine="540"/>
        <w:jc w:val="both"/>
      </w:pPr>
      <w:hyperlink w:history="0" w:anchor="P110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Структура и объем 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Таблица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74"/>
        <w:gridCol w:w="3571"/>
        <w:gridCol w:w="4025"/>
      </w:tblGrid>
      <w:tr>
        <w:tc>
          <w:tcPr>
            <w:gridSpan w:val="2"/>
            <w:tcW w:w="50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Структура программы специалитета</w:t>
            </w:r>
          </w:p>
        </w:tc>
        <w:tc>
          <w:tcPr>
            <w:tcW w:w="402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программы специалитета и ее блоков в з.е.</w:t>
            </w:r>
          </w:p>
        </w:tc>
      </w:tr>
      <w:tr>
        <w:tc>
          <w:tcPr>
            <w:tcW w:w="1474" w:type="dxa"/>
            <w:vAlign w:val="center"/>
          </w:tcPr>
          <w:bookmarkStart w:id="104" w:name="P104"/>
          <w:bookmarkEnd w:id="104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1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Дисциплины (модули)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288</w:t>
            </w:r>
          </w:p>
        </w:tc>
      </w:tr>
      <w:tr>
        <w:tc>
          <w:tcPr>
            <w:tcW w:w="1474" w:type="dxa"/>
            <w:vAlign w:val="center"/>
          </w:tcPr>
          <w:bookmarkStart w:id="107" w:name="P107"/>
          <w:bookmarkEnd w:id="107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2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Практика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45</w:t>
            </w:r>
          </w:p>
        </w:tc>
      </w:tr>
      <w:tr>
        <w:tc>
          <w:tcPr>
            <w:tcW w:w="1474" w:type="dxa"/>
          </w:tcPr>
          <w:bookmarkStart w:id="110" w:name="P110"/>
          <w:bookmarkEnd w:id="110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3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gridSpan w:val="2"/>
            <w:tcW w:w="5045" w:type="dxa"/>
            <w:vAlign w:val="center"/>
          </w:tcPr>
          <w:p>
            <w:pPr>
              <w:pStyle w:val="0"/>
              <w:ind w:left="283"/>
            </w:pPr>
            <w:r>
              <w:rPr>
                <w:sz w:val="20"/>
              </w:rPr>
              <w:t xml:space="preserve">Объем программы специалитета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bookmarkStart w:id="116" w:name="P116"/>
    <w:bookmarkEnd w:id="116"/>
    <w:p>
      <w:pPr>
        <w:pStyle w:val="0"/>
        <w:ind w:firstLine="540"/>
        <w:jc w:val="both"/>
      </w:pPr>
      <w:r>
        <w:rPr>
          <w:sz w:val="20"/>
        </w:rPr>
        <w:t xml:space="preserve">2.2. Программа специалитета в рамках </w:t>
      </w:r>
      <w:hyperlink w:history="0" w:anchor="P104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 должна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реализацию дисциплин (модулей) по философии, иностранному языку, безопасности жизнедеятельности;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объема, отводимого на реализацию указанной дисциплины (модуля).</w:t>
      </w:r>
    </w:p>
    <w:p>
      <w:pPr>
        <w:pStyle w:val="0"/>
        <w:jc w:val="both"/>
      </w:pPr>
      <w:r>
        <w:rPr>
          <w:sz w:val="20"/>
        </w:rPr>
        <w:t xml:space="preserve">(п. 2.2 в ред. </w:t>
      </w:r>
      <w:hyperlink w:history="0" r:id="rId22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19.07.2022 N 662)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Программа специалитета должна обеспечивать реализацию дисциплин (модулей) по физической культуре и спорту: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2 з.е. в рамках </w:t>
      </w:r>
      <w:hyperlink w:history="0" w:anchor="P104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328 академических часов, которые являются обязательными для освоения, не переводятся в з.е. и не включаются в объем программы специалитета, в рамках элективных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bookmarkStart w:id="124" w:name="P124"/>
    <w:bookmarkEnd w:id="12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В </w:t>
      </w:r>
      <w:hyperlink w:history="0" w:anchor="P107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 входят учебная и производственная практики (далее вместе - практики).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учебной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практика по получению первичных профессиональных умений и навыков диагностического профиля;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практика по получению первичных профессиональных умений и навыков педиатрического профиля.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производственной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клиническая практика на должностях среднего медицинского персонала;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клиническая практика терапевтического профиля;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клиническая практика хирургического профиля;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клиническая практика акушерско-гинекологического профиля;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клиническая практика педиатрического профиля;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амбулаторно-поликлиническая практика в педиатрии.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В дополнение к типам практик, указанным в </w:t>
      </w:r>
      <w:hyperlink w:history="0" w:anchor="P124" w:tooltip="2.4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ВО, ПООП может также содержать рекомендуемые типы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Организация: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history="0" w:anchor="P124" w:tooltip="2.4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выбрать один или несколько типов учебной практики и (или) производственной практики из рекомендуемых ПООП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установить дополнительный тип (типы) учебной и (или) производственной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устанавливает объемы практик каждого типа.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 В </w:t>
      </w:r>
      <w:hyperlink w:history="0" w:anchor="P110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 входит подготовка к сдаче и сдача государственного экзамена.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 При разработке программы специалитета обучающимся обеспечивается возможность освоения элективных дисциплин (модулей) и факультативных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Факультативные дисциплины (модули) не включаются в объем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 Реализация практической подготовки обучающихся, осуществляемой в соответствии с </w:t>
      </w:r>
      <w:hyperlink w:history="0" r:id="rId23" w:tooltip="Приказ Минздрава России от 03.09.2013 N 620н &quot;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&quot; (Зарегистрировано в Минюсте России 01.11.2013 N 30304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&lt;4&gt;, а также проведение государственной итоговой аттестации не допускается с применением электронного обучения, дистанционных образовательных технологий.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24" w:tooltip="Приказ Минздрава России от 03.09.2013 N 620н &quot;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&quot; (Зарегистрировано в Минюсте России 01.11.2013 N 3030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Российской Федерации от 3 сентября 2013 г. N 620н "Об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образования" (зарегистрирован Министерством юстиции Российской Федерации 1 ноября 2013 г., регистрационный N 30304).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2.10. В рамках программы специалитета выделяются обязательная часть и часть, формируемая участниками образовательных 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обязательной части программы специалитета относятся дисциплины (модули) и практики, обеспечивающие формирование общепрофессиональных компетенций, определяемых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обязательную часть программы специалитета включаются,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(модули), указанные в </w:t>
      </w:r>
      <w:hyperlink w:history="0" w:anchor="P116" w:tooltip="2.2. Программа специалитета в рамках Блока 1 &quot;Дисциплины (модули)&quot; должна обеспечивать:">
        <w:r>
          <w:rPr>
            <w:sz w:val="20"/>
            <w:color w:val="0000ff"/>
          </w:rPr>
          <w:t xml:space="preserve">пункте 2.2</w:t>
        </w:r>
      </w:hyperlink>
      <w:r>
        <w:rPr>
          <w:sz w:val="20"/>
        </w:rPr>
        <w:t xml:space="preserve"> ФГОС 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по физической культуре и спорту, реализуемые в рамках </w:t>
      </w:r>
      <w:hyperlink w:history="0" w:anchor="P104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специалитета и (или) в часть, формируемую участниками образовательных 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обязательной части без учета объема государственной итоговой аттестации должен составлять не менее 75 процентов общего объема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2.11. Организация должна предоставлять инвалидам и лицам с ОВЗ (по их заявлению) возможность обучения по программе специалитета,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Требования к результатам освоения</w:t>
      </w:r>
    </w:p>
    <w:p>
      <w:pPr>
        <w:pStyle w:val="2"/>
        <w:jc w:val="center"/>
      </w:pPr>
      <w:r>
        <w:rPr>
          <w:sz w:val="20"/>
        </w:rPr>
        <w:t xml:space="preserve">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В результате освоения программы специалитета у выпускника должны быть сформированы компетенции, установленные программой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Программа специалитета должна устанавливать следующие универсальные компетенции: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94"/>
        <w:gridCol w:w="6576"/>
      </w:tblGrid>
      <w:tr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универсальных компетенций</w:t>
            </w:r>
          </w:p>
        </w:tc>
        <w:tc>
          <w:tcPr>
            <w:tcW w:w="657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универсальной компетенции выпускника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Системное и критическое мышление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Разработка и реализация проектов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УК-2. Способен управлять проектом на всех этапах его жизненного цикла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Командная работа и лидерство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Коммуникация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УК-4.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Межкультурное взаимодействие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УК-5. Способен анализировать и учитывать разнообразие культур в процессе межкультурного взаимодействия</w:t>
            </w:r>
          </w:p>
        </w:tc>
      </w:tr>
      <w:tr>
        <w:tc>
          <w:tcPr>
            <w:tcW w:w="249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Самоорганизация и саморазвитие (в том числе здоровьесбережение)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УК-6.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</w:tr>
      <w:tr>
        <w:tc>
          <w:tcPr>
            <w:vMerge w:val="continue"/>
          </w:tcPr>
          <w:p/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Безопасность жизнедеятельности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Инклюзивная компетентность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УК-9. Способен использовать базовые дефектологические знания в социальной и профессиональной сферах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Экономическая культура, в том числе финансовая грамотность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УК-10. Способен принимать обоснованные экономические решения в различных областях жизнедеятельности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Гражданская позиция</w:t>
            </w:r>
          </w:p>
        </w:tc>
        <w:tc>
          <w:tcPr>
            <w:tcW w:w="6576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УК-11.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5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27.02.2023 N 208)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3.3. Программа специалитета должна устанавливать следующие общепрофессиональные компетенции: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94"/>
        <w:gridCol w:w="6576"/>
      </w:tblGrid>
      <w:tr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общепрофессиональных компетенций</w:t>
            </w:r>
          </w:p>
        </w:tc>
        <w:tc>
          <w:tcPr>
            <w:tcW w:w="657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общепрофессиональной компетенции выпускника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Этические и правовые основы профессиональной деятельности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ОПК-1. Способен реализовывать моральные и правовые нормы, этические и деонтологические принципы в профессиональной деятельности</w:t>
            </w:r>
          </w:p>
        </w:tc>
      </w:tr>
      <w:tr>
        <w:tc>
          <w:tcPr>
            <w:tcW w:w="249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Здоровый образ жизни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ОПК-2. Способен проводить и осуществлять контроль эффективности мероприятий по профилактике инфекционных и неинфекционных заболеваний у детей, формированию здорового образа жизни и санитарно-гигиеническому просвещению населения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ОПК-3. Способен к противодействию применения допинга в спорте и борьбе с ним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Диагностические инструментальные методы обследования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ОПК-4. Способен применять медицинские изделия, предусмотренные порядком оказания медицинской помощи, а также проводить обследования пациента с целью установления диагноза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Этиология и патогенез</w:t>
            </w:r>
          </w:p>
        </w:tc>
        <w:tc>
          <w:tcPr>
            <w:tcW w:w="657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ОГЖ-5. Способен оценивать морфофункциональные, физиологические состояния и патологические процессы в организме человека для решения профессиональных задач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Первичная медико-санитарная помощь</w:t>
            </w:r>
          </w:p>
        </w:tc>
        <w:tc>
          <w:tcPr>
            <w:tcW w:w="6576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ОПК-6. Способен организовывать уход за больными, оказывать первичную медико-санитарную помощь, обеспечивать организацию работы и принятие профессиональных решений при неотложных состояниях на догоспитальном этапе, в условиях чрезвычайных ситуаций, эпидемий и в очагах массового поражения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Лечение заболеваний и состояний</w:t>
            </w:r>
          </w:p>
        </w:tc>
        <w:tc>
          <w:tcPr>
            <w:tcW w:w="6576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ОПК-7. Способен назначать лечение и осуществлять контроль его эффективности и безопасности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Медицинская реабилитация</w:t>
            </w:r>
          </w:p>
        </w:tc>
        <w:tc>
          <w:tcPr>
            <w:tcW w:w="6576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ОПК-8. Способен реализовывать и осуществлять контроль эффективности медицинской реабилитации пациента, в том числе при реализации индивидуальных программ реабилитации и абилитации ребенка-инвалида, проводить оценку способности пациента осуществлять трудовую деятельность</w:t>
            </w:r>
          </w:p>
        </w:tc>
      </w:tr>
      <w:tr>
        <w:tc>
          <w:tcPr>
            <w:tcW w:w="249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Менеджмент качества</w:t>
            </w:r>
          </w:p>
        </w:tc>
        <w:tc>
          <w:tcPr>
            <w:tcW w:w="6576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ОПК-9. Способен реализовывать принципы менеджмента качества в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tcW w:w="2494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Информационная грамотность</w:t>
            </w:r>
          </w:p>
        </w:tc>
        <w:tc>
          <w:tcPr>
            <w:tcW w:w="6576" w:type="dxa"/>
            <w:vAlign w:val="center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ОПК-10.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26.11.2020 N 1456)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history="0" w:anchor="P291" w:tooltip="ПЕРЕЧЕНЬ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</w:t>
      </w:r>
      <w:hyperlink w:history="0" r:id="rId27">
        <w:r>
          <w:rPr>
            <w:sz w:val="20"/>
            <w:color w:val="0000ff"/>
          </w:rPr>
          <w:t xml:space="preserve">http://profstandart.rosmintrud.ru</w:t>
        </w:r>
      </w:hyperlink>
      <w:r>
        <w:rPr>
          <w:sz w:val="20"/>
        </w:rPr>
        <w:t xml:space="preserve">) &lt;5&gt; (при наличии соответствующих профессиональных стандартов).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</w:t>
      </w:r>
      <w:hyperlink w:history="0" r:id="rId28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&lt;6&gt; и требований раздела "Требования к образованию и обучению". ОТФ может быть выделена полностью или частично.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</w:t>
      </w:r>
      <w:hyperlink w:history="0" r:id="rId29" w:tooltip="Приказ Минтруда России от 12.04.2013 N 148н &quot;Об утверждении уровней квалификации в целях разработки проектов профессиональных стандартов&quot; (Зарегистрировано в Минюсте России 27.05.2013 N 2853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Совокупность компетенций, установленных программой специалитета,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history="0" w:anchor="P72" w:tooltip="1.11. Области профессиональной деятельности &lt;3&gt; и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">
        <w:r>
          <w:rPr>
            <w:sz w:val="20"/>
            <w:color w:val="0000ff"/>
          </w:rPr>
          <w:t xml:space="preserve">пунктом 1.11</w:t>
        </w:r>
      </w:hyperlink>
      <w:r>
        <w:rPr>
          <w:sz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history="0" w:anchor="P79" w:tooltip="1.12. В рамках освоения программы специалитета выпускники могут готовиться к решению задач профессиональной деятельности следующих типов:">
        <w:r>
          <w:rPr>
            <w:sz w:val="20"/>
            <w:color w:val="0000ff"/>
          </w:rPr>
          <w:t xml:space="preserve">пунктом 1.12</w:t>
        </w:r>
      </w:hyperlink>
      <w:r>
        <w:rPr>
          <w:sz w:val="20"/>
        </w:rPr>
        <w:t xml:space="preserve">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Организация устанавливает в программе специалитета индикаторы достижения компетенций самостоятельно.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специалитета индикаторами достижения компетенций.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специалитета.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Требования к условиям реализации 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Требования к условиям реализации программы специалитета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специалитета, а также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4.2. Общесистемные требования к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специалитета по </w:t>
      </w:r>
      <w:hyperlink w:history="0" w:anchor="P104" w:tooltip="Блок 1">
        <w:r>
          <w:rPr>
            <w:sz w:val="20"/>
            <w:color w:val="0000ff"/>
          </w:rPr>
          <w:t xml:space="preserve">Блоку 1</w:t>
        </w:r>
      </w:hyperlink>
      <w:r>
        <w:rPr>
          <w:sz w:val="20"/>
        </w:rPr>
        <w:t xml:space="preserve"> "Дисциплины (модули)" и </w:t>
      </w:r>
      <w:hyperlink w:history="0" w:anchor="P110" w:tooltip="Блок 3">
        <w:r>
          <w:rPr>
            <w:sz w:val="20"/>
            <w:color w:val="0000ff"/>
          </w:rPr>
          <w:t xml:space="preserve">Блоку 3</w:t>
        </w:r>
      </w:hyperlink>
      <w:r>
        <w:rPr>
          <w:sz w:val="20"/>
        </w:rPr>
        <w:t xml:space="preserve"> "Государственная итоговая аттестация" в соответствии с учебным планом.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Электронная информационно-образовательная среда Организации должна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электронного портфолио обучающегося, в том числе сохранение его работ и оценок за эти работы.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реализации программы специалитета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фиксацию хода образовательного процесса, результатов промежуточной аттестации и результатов освоения программы специалитета;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&lt;7&gt;.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Федеральный </w:t>
      </w:r>
      <w:hyperlink w:history="0" r:id="rId30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w:history="0" r:id="rId31" w:tooltip="Федеральный закон от 27.07.2006 N 152-ФЗ (ред. от 26.07.2026) &quot;О персональных данных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152-ФЗ "О персональных данных" (Собрание законодательства Российской Федерации, 2006, N 31, ст. 3451; 2020, N 17, ст. 2701).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4.2.3. При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4.3. Требования к материально-техническому и учебно-методическому обеспечению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специалитета,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Допускается замена оборудования его виртуальными аналогами.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4.4. Требования к кадровым условиям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4.4.1. Реализация программы специалитета обеспечивается педагогическими работниками Организации, а также лицами, привлекаемыми Организацией к реализации программы специалитета на иных условиях.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4.4.3. Не менее 70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4.4.4. Не менее 10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4.4.5. 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4.5. Требования к финансовым условиям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4.5.1. Финансовое обеспечение реализации программы специалитета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специалитета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&lt;8&gt;.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</w:t>
      </w:r>
      <w:hyperlink w:history="0" r:id="rId32" w:tooltip="Постановление Правительства РФ от 26.06.2015 N 640 (ред. от 10.08.2026) &quot;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&quot; (вместе с &quot;Положением о формировании государственного задания на оказание государственных услуг (выполнение работ) в отношении федеральных государственных учреждений и финансовом обеспечении выполнения государственного задан {КонсультантПлюс}">
        <w:r>
          <w:rPr>
            <w:sz w:val="20"/>
            <w:color w:val="0000ff"/>
          </w:rPr>
          <w:t xml:space="preserve">Пункт 10</w:t>
        </w:r>
      </w:hyperlink>
      <w:r>
        <w:rPr>
          <w:sz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4.6.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4.6.1. Качество образовательной деятельности и подготовки обучающихся по программе специалитета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4.6.2. В целях совершенствования программы специалитета Организация при проведении регулярной внутренней оценки качества образовательной деятельности и подготовки обучающихся по программе специалитета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внутренней системы оценки качества образовательной деятельности по программе специалитета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4.6.3. Внешняя оценка качества образовательной деятельности по программе специалитета в рамках процедуры государственной аккредитации осуществляется с целью подтверждения соответствия образовательной деятельности по программе специалитета требованиям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4.6.4. Внешняя оценка качества образовательной деятельности и подготовки обучающихся по программе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федеральному государственному</w:t>
      </w:r>
    </w:p>
    <w:p>
      <w:pPr>
        <w:pStyle w:val="0"/>
        <w:jc w:val="right"/>
      </w:pPr>
      <w:r>
        <w:rPr>
          <w:sz w:val="20"/>
        </w:rPr>
        <w:t xml:space="preserve">образовательному стандарту высшего</w:t>
      </w:r>
    </w:p>
    <w:p>
      <w:pPr>
        <w:pStyle w:val="0"/>
        <w:jc w:val="right"/>
      </w:pPr>
      <w:r>
        <w:rPr>
          <w:sz w:val="20"/>
        </w:rPr>
        <w:t xml:space="preserve">образования - специалитет</w:t>
      </w:r>
    </w:p>
    <w:p>
      <w:pPr>
        <w:pStyle w:val="0"/>
        <w:jc w:val="right"/>
      </w:pPr>
      <w:r>
        <w:rPr>
          <w:sz w:val="20"/>
        </w:rPr>
        <w:t xml:space="preserve">по специальности 31.05.02 Педиатрия,</w:t>
      </w:r>
    </w:p>
    <w:p>
      <w:pPr>
        <w:pStyle w:val="0"/>
        <w:jc w:val="right"/>
      </w:pPr>
      <w:r>
        <w:rPr>
          <w:sz w:val="20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науки</w:t>
      </w:r>
    </w:p>
    <w:p>
      <w:pPr>
        <w:pStyle w:val="0"/>
        <w:jc w:val="right"/>
      </w:pPr>
      <w:r>
        <w:rPr>
          <w:sz w:val="20"/>
        </w:rPr>
        <w:t xml:space="preserve">и высшего образования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августа 2020 г. N 965</w:t>
      </w:r>
    </w:p>
    <w:p>
      <w:pPr>
        <w:pStyle w:val="0"/>
        <w:jc w:val="both"/>
      </w:pPr>
      <w:r>
        <w:rPr>
          <w:sz w:val="20"/>
        </w:rPr>
      </w:r>
    </w:p>
    <w:bookmarkStart w:id="291" w:name="P291"/>
    <w:bookmarkEnd w:id="29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ПРОФЕССИОНАЛЬНЫХ СТАНДАРТОВ, СООТВЕТСТВУЮЩИХ</w:t>
      </w:r>
    </w:p>
    <w:p>
      <w:pPr>
        <w:pStyle w:val="2"/>
        <w:jc w:val="center"/>
      </w:pPr>
      <w:r>
        <w:rPr>
          <w:sz w:val="20"/>
        </w:rPr>
        <w:t xml:space="preserve">ПРОФЕССИОНАЛЬНОЙ ДЕЯТЕЛЬНОСТИ ВЫПУСКНИКОВ, ОСВОИВШИХ</w:t>
      </w:r>
    </w:p>
    <w:p>
      <w:pPr>
        <w:pStyle w:val="2"/>
        <w:jc w:val="center"/>
      </w:pPr>
      <w:r>
        <w:rPr>
          <w:sz w:val="20"/>
        </w:rPr>
        <w:t xml:space="preserve">ПРОГРАММУ СПЕЦИАЛИТЕТА ПО СПЕЦИАЛЬНОСТИ</w:t>
      </w:r>
    </w:p>
    <w:p>
      <w:pPr>
        <w:pStyle w:val="2"/>
        <w:jc w:val="center"/>
      </w:pPr>
      <w:r>
        <w:rPr>
          <w:sz w:val="20"/>
        </w:rPr>
        <w:t xml:space="preserve">31.05.02 ПЕДИАТРИЯ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247"/>
        <w:gridCol w:w="7313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профессионального стандарта</w:t>
            </w:r>
          </w:p>
        </w:tc>
        <w:tc>
          <w:tcPr>
            <w:tcW w:w="73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области профессиональной деятельности. Наименование профессионального стандарта</w:t>
            </w:r>
          </w:p>
        </w:tc>
      </w:tr>
      <w:tr>
        <w:tc>
          <w:tcPr>
            <w:gridSpan w:val="3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hyperlink w:history="0" r:id="rId3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      <w:r>
                <w:rPr>
                  <w:sz w:val="20"/>
                  <w:color w:val="0000ff"/>
                </w:rPr>
                <w:t xml:space="preserve">02</w:t>
              </w:r>
            </w:hyperlink>
            <w:r>
              <w:rPr>
                <w:sz w:val="20"/>
              </w:rPr>
              <w:t xml:space="preserve"> Здравоохранение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02.008</w:t>
            </w:r>
          </w:p>
        </w:tc>
        <w:tc>
          <w:tcPr>
            <w:tcW w:w="7313" w:type="dxa"/>
            <w:vAlign w:val="center"/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Профессиональный </w:t>
            </w:r>
            <w:hyperlink w:history="0" r:id="rId34" w:tooltip="Приказ Минтруда России от 27.03.2017 N 306н &quot;Об утверждении профессионального стандарта &quot;Врач-педиатр участковый&quot; (Зарегистрировано в Минюсте России 17.04.2017 N 46397) {КонсультантПлюс}">
              <w:r>
                <w:rPr>
                  <w:sz w:val="20"/>
                  <w:color w:val="0000ff"/>
                </w:rPr>
                <w:t xml:space="preserve">стандарт</w:t>
              </w:r>
            </w:hyperlink>
            <w:r>
              <w:rPr>
                <w:sz w:val="20"/>
              </w:rPr>
              <w:t xml:space="preserve"> "Врач-педиатр участковый", утвержденный приказом Министерства труда и социальной защиты Российской Федерации от 27 марта 2017 г. N 306н (зарегистрирован Министерством юстиции Российской Федерации 17 апреля 2017 г., регистрационный N 46397)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12.08.2020 N 965</w:t>
            <w:br/>
            <w:t>(ред. от 27.02.2023)</w:t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385079&amp;dst=105141" TargetMode = "External"/><Relationship Id="rId9" Type="http://schemas.openxmlformats.org/officeDocument/2006/relationships/hyperlink" Target="https://login.consultant.ru/link/?req=doc&amp;base=LAW&amp;n=428382&amp;dst=101105" TargetMode = "External"/><Relationship Id="rId10" Type="http://schemas.openxmlformats.org/officeDocument/2006/relationships/hyperlink" Target="https://login.consultant.ru/link/?req=doc&amp;base=LAW&amp;n=443783&amp;dst=102456" TargetMode = "External"/><Relationship Id="rId11" Type="http://schemas.openxmlformats.org/officeDocument/2006/relationships/hyperlink" Target="https://login.consultant.ru/link/?req=doc&amp;base=LAW&amp;n=526599&amp;dst=100059" TargetMode = "External"/><Relationship Id="rId12" Type="http://schemas.openxmlformats.org/officeDocument/2006/relationships/hyperlink" Target="https://login.consultant.ru/link/?req=doc&amp;base=LAW&amp;n=481262&amp;dst=100072" TargetMode = "External"/><Relationship Id="rId13" Type="http://schemas.openxmlformats.org/officeDocument/2006/relationships/hyperlink" Target="https://login.consultant.ru/link/?req=doc&amp;base=LAW&amp;n=186079&amp;dst=100013" TargetMode = "External"/><Relationship Id="rId14" Type="http://schemas.openxmlformats.org/officeDocument/2006/relationships/hyperlink" Target="https://login.consultant.ru/link/?req=doc&amp;base=LAW&amp;n=385079&amp;dst=105141" TargetMode = "External"/><Relationship Id="rId15" Type="http://schemas.openxmlformats.org/officeDocument/2006/relationships/hyperlink" Target="https://login.consultant.ru/link/?req=doc&amp;base=LAW&amp;n=428382&amp;dst=101105" TargetMode = "External"/><Relationship Id="rId16" Type="http://schemas.openxmlformats.org/officeDocument/2006/relationships/hyperlink" Target="https://login.consultant.ru/link/?req=doc&amp;base=LAW&amp;n=443783&amp;dst=102456" TargetMode = "External"/><Relationship Id="rId17" Type="http://schemas.openxmlformats.org/officeDocument/2006/relationships/hyperlink" Target="https://login.consultant.ru/link/?req=doc&amp;base=LAW&amp;n=541081&amp;dst=217" TargetMode = "External"/><Relationship Id="rId18" Type="http://schemas.openxmlformats.org/officeDocument/2006/relationships/hyperlink" Target="https://login.consultant.ru/link/?req=doc&amp;base=LAW&amp;n=541081&amp;dst=100249" TargetMode = "External"/><Relationship Id="rId19" Type="http://schemas.openxmlformats.org/officeDocument/2006/relationships/hyperlink" Target="https://login.consultant.ru/link/?req=doc&amp;base=LAW&amp;n=214720&amp;dst=100047" TargetMode = "External"/><Relationship Id="rId20" Type="http://schemas.openxmlformats.org/officeDocument/2006/relationships/hyperlink" Target="https://login.consultant.ru/link/?req=doc&amp;base=LAW&amp;n=214720&amp;dst=100052" TargetMode = "External"/><Relationship Id="rId21" Type="http://schemas.openxmlformats.org/officeDocument/2006/relationships/hyperlink" Target="https://login.consultant.ru/link/?req=doc&amp;base=LAW&amp;n=214720&amp;dst=100062" TargetMode = "External"/><Relationship Id="rId22" Type="http://schemas.openxmlformats.org/officeDocument/2006/relationships/hyperlink" Target="https://login.consultant.ru/link/?req=doc&amp;base=LAW&amp;n=428382&amp;dst=101105" TargetMode = "External"/><Relationship Id="rId23" Type="http://schemas.openxmlformats.org/officeDocument/2006/relationships/hyperlink" Target="https://login.consultant.ru/link/?req=doc&amp;base=LAW&amp;n=154176&amp;dst=100009" TargetMode = "External"/><Relationship Id="rId24" Type="http://schemas.openxmlformats.org/officeDocument/2006/relationships/hyperlink" Target="https://login.consultant.ru/link/?req=doc&amp;base=LAW&amp;n=154176" TargetMode = "External"/><Relationship Id="rId25" Type="http://schemas.openxmlformats.org/officeDocument/2006/relationships/hyperlink" Target="https://login.consultant.ru/link/?req=doc&amp;base=LAW&amp;n=443783&amp;dst=102456" TargetMode = "External"/><Relationship Id="rId26" Type="http://schemas.openxmlformats.org/officeDocument/2006/relationships/hyperlink" Target="https://login.consultant.ru/link/?req=doc&amp;base=LAW&amp;n=385079&amp;dst=105142" TargetMode = "External"/><Relationship Id="rId27" Type="http://schemas.openxmlformats.org/officeDocument/2006/relationships/hyperlink" Target="http://profstandart.rosmintrud.ru" TargetMode = "External"/><Relationship Id="rId28" Type="http://schemas.openxmlformats.org/officeDocument/2006/relationships/hyperlink" Target="https://login.consultant.ru/link/?req=doc&amp;base=LAW&amp;n=214720&amp;dst=100006" TargetMode = "External"/><Relationship Id="rId29" Type="http://schemas.openxmlformats.org/officeDocument/2006/relationships/hyperlink" Target="https://login.consultant.ru/link/?req=doc&amp;base=LAW&amp;n=146970" TargetMode = "External"/><Relationship Id="rId30" Type="http://schemas.openxmlformats.org/officeDocument/2006/relationships/hyperlink" Target="https://login.consultant.ru/link/?req=doc&amp;base=LAW&amp;n=538088" TargetMode = "External"/><Relationship Id="rId31" Type="http://schemas.openxmlformats.org/officeDocument/2006/relationships/hyperlink" Target="https://login.consultant.ru/link/?req=doc&amp;base=LAW&amp;n=540428" TargetMode = "External"/><Relationship Id="rId32" Type="http://schemas.openxmlformats.org/officeDocument/2006/relationships/hyperlink" Target="https://login.consultant.ru/link/?req=doc&amp;base=LAW&amp;n=541762&amp;dst=100947" TargetMode = "External"/><Relationship Id="rId33" Type="http://schemas.openxmlformats.org/officeDocument/2006/relationships/hyperlink" Target="https://login.consultant.ru/link/?req=doc&amp;base=LAW&amp;n=214720&amp;dst=100052" TargetMode = "External"/><Relationship Id="rId34" Type="http://schemas.openxmlformats.org/officeDocument/2006/relationships/hyperlink" Target="https://login.consultant.ru/link/?req=doc&amp;base=LAW&amp;n=215685&amp;dst=100010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12.08.2020 N 965
(ред. от 27.02.2023)
"Об утверждении федерального государственного образовательного стандарта высшего образования - специалитет по специальности 31.05.02 Педиатрия"
(Зарегистрировано в Минюсте России 25.08.2020 N 59452)</dc:title>
  <dcterms:created xsi:type="dcterms:W3CDTF">2026-08-21T09:38:01Z</dcterms:created>
</cp:coreProperties>
</file>