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002BB" w:rsidRPr="00292F42" w:rsidRDefault="00D0353F" w:rsidP="00292F42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3D7752">
        <w:rPr>
          <w:rFonts w:ascii="Times New Roman" w:hAnsi="Times New Roman"/>
          <w:b/>
          <w:sz w:val="24"/>
          <w:szCs w:val="24"/>
        </w:rPr>
        <w:t>«</w:t>
      </w:r>
      <w:r w:rsidR="000D3922" w:rsidRPr="00224F6D">
        <w:rPr>
          <w:rFonts w:ascii="Times New Roman" w:hAnsi="Times New Roman"/>
          <w:b/>
          <w:sz w:val="24"/>
          <w:szCs w:val="24"/>
        </w:rPr>
        <w:t xml:space="preserve">Дифференциальная диагностика и общие аспекты лечения заболеваний слизистой оболочки рта </w:t>
      </w:r>
      <w:r w:rsidR="000D3922" w:rsidRPr="00945823">
        <w:rPr>
          <w:rFonts w:ascii="Times New Roman" w:hAnsi="Times New Roman"/>
          <w:b/>
          <w:bCs/>
          <w:sz w:val="24"/>
          <w:szCs w:val="24"/>
        </w:rPr>
        <w:t>(</w:t>
      </w:r>
      <w:r w:rsidR="000D3922">
        <w:rPr>
          <w:rFonts w:ascii="Times New Roman" w:hAnsi="Times New Roman"/>
          <w:b/>
          <w:bCs/>
          <w:sz w:val="24"/>
          <w:szCs w:val="24"/>
        </w:rPr>
        <w:t>с отработкой</w:t>
      </w:r>
      <w:r w:rsidR="000D3922" w:rsidRPr="00945823">
        <w:rPr>
          <w:rFonts w:ascii="Times New Roman" w:hAnsi="Times New Roman"/>
          <w:b/>
          <w:bCs/>
          <w:sz w:val="24"/>
          <w:szCs w:val="24"/>
        </w:rPr>
        <w:t xml:space="preserve"> мануальных навыков)</w:t>
      </w:r>
      <w:r w:rsidR="000D3922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2F4F49" w:rsidRDefault="000D023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465EB" w:rsidP="00E24F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стоматология, стоматология терапевтическая, стоматология детская, </w:t>
            </w:r>
            <w:r w:rsidRPr="005401F5">
              <w:rPr>
                <w:rFonts w:ascii="Times New Roman" w:hAnsi="Times New Roman"/>
                <w:sz w:val="24"/>
                <w:szCs w:val="24"/>
              </w:rPr>
              <w:t>стоматология ортопедическая</w:t>
            </w:r>
            <w:r w:rsidR="00017EF0">
              <w:rPr>
                <w:rFonts w:ascii="Times New Roman" w:hAnsi="Times New Roman"/>
                <w:sz w:val="24"/>
                <w:szCs w:val="24"/>
              </w:rPr>
              <w:t>, стоматология хирургическая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24F0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21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2104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4B2104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A2C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D7971" w:rsidRDefault="00D43073" w:rsidP="003D79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4F49">
              <w:rPr>
                <w:rFonts w:ascii="Times New Roman" w:hAnsi="Times New Roman" w:cs="Times New Roman"/>
                <w:bCs/>
                <w:sz w:val="24"/>
                <w:szCs w:val="24"/>
              </w:rPr>
              <w:t>юджетная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договорная</w:t>
            </w:r>
            <w:r w:rsidR="003D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D7971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17EF0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="00F2277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</w:t>
            </w:r>
            <w:r w:rsidR="00152C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r w:rsidR="004B21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DB6008" w:rsidRPr="00481D5C" w:rsidRDefault="00DB6008" w:rsidP="00DB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Уровень профессионального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бразования – высшее образование </w:t>
            </w:r>
            <w:proofErr w:type="spellStart"/>
            <w:r w:rsidRPr="00481D5C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48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"Стоматология"</w:t>
            </w:r>
            <w:r w:rsidRPr="00481D5C">
              <w:rPr>
                <w:rFonts w:ascii="Times New Roman" w:hAnsi="Times New Roman" w:cs="Times New Roman"/>
                <w:sz w:val="24"/>
                <w:szCs w:val="24"/>
              </w:rPr>
              <w:t>, подготовка в интернатуре/ординатуре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дополнительное профессиональное образование</w:t>
            </w:r>
            <w:r w:rsidRPr="00481D5C">
              <w:rPr>
                <w:rFonts w:ascii="Times New Roman" w:hAnsi="Times New Roman" w:cs="Times New Roman"/>
                <w:sz w:val="24"/>
                <w:szCs w:val="24"/>
              </w:rPr>
              <w:t xml:space="preserve"> по одной из специальностей: "Стоматология", "Стоматология общей практики</w:t>
            </w:r>
            <w:proofErr w:type="gramStart"/>
            <w:r w:rsidRPr="00481D5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1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Терапевтическая стоматология», «Стоматология детская», </w:t>
            </w:r>
            <w:r w:rsidR="00E24F03">
              <w:rPr>
                <w:rFonts w:ascii="Times New Roman" w:hAnsi="Times New Roman" w:cs="Times New Roman"/>
                <w:sz w:val="24"/>
                <w:szCs w:val="24"/>
              </w:rPr>
              <w:t xml:space="preserve">«Стоматология ортопедическая» </w:t>
            </w:r>
            <w:r w:rsidRPr="00965F02">
              <w:rPr>
                <w:rFonts w:ascii="Times New Roman" w:hAnsi="Times New Roman" w:cs="Times New Roman"/>
                <w:sz w:val="24"/>
                <w:szCs w:val="24"/>
              </w:rPr>
              <w:t>(согласно приказу МЗ РФ</w:t>
            </w:r>
            <w:r w:rsidR="003A2C08">
              <w:rPr>
                <w:rFonts w:ascii="Times New Roman" w:hAnsi="Times New Roman" w:cs="Times New Roman"/>
                <w:sz w:val="24"/>
                <w:szCs w:val="24"/>
              </w:rPr>
              <w:t xml:space="preserve">  от2 мая 2023 года N 206н</w:t>
            </w:r>
            <w:r w:rsidRPr="00965F0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69F" w:rsidRPr="006411DF" w:rsidRDefault="002E769F" w:rsidP="00152C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D43073" w:rsidRPr="00D43073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92F42" w:rsidRPr="00503543" w:rsidRDefault="00D43073" w:rsidP="00292F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EF0" w:rsidRPr="00224F6D"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Дифференциальная диагностика и общие аспекты лечения заболеваний слизистой оболочки рта </w:t>
            </w:r>
            <w:r w:rsidR="00017EF0" w:rsidRPr="00945823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017EF0">
              <w:rPr>
                <w:rFonts w:ascii="Times New Roman" w:hAnsi="Times New Roman"/>
                <w:b/>
                <w:bCs/>
                <w:sz w:val="24"/>
                <w:szCs w:val="24"/>
              </w:rPr>
              <w:t>с отработкой</w:t>
            </w:r>
            <w:r w:rsidR="00017EF0" w:rsidRPr="009458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мануальных навыков)</w:t>
            </w:r>
            <w:r w:rsidR="00017EF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17EF0" w:rsidRPr="003D77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E769F" w:rsidRPr="004661C9" w:rsidRDefault="002E769F" w:rsidP="00292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C9" w:rsidRPr="00294CE8" w:rsidTr="007A687F">
        <w:tc>
          <w:tcPr>
            <w:tcW w:w="636" w:type="dxa"/>
          </w:tcPr>
          <w:p w:rsidR="004661C9" w:rsidRDefault="004661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4661C9" w:rsidRPr="006411DF" w:rsidRDefault="0009592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7762A4" w:rsidRPr="00292F42" w:rsidRDefault="004661C9" w:rsidP="00292F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врачей </w:t>
            </w:r>
            <w:r w:rsidR="00017EF0" w:rsidRPr="00224F6D"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Дифференциальная диагностика и общие аспекты лечения заболеваний слизистой оболочки рта </w:t>
            </w:r>
            <w:r w:rsidR="00017EF0" w:rsidRPr="00945823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017EF0">
              <w:rPr>
                <w:rFonts w:ascii="Times New Roman" w:hAnsi="Times New Roman"/>
                <w:b/>
                <w:bCs/>
                <w:sz w:val="24"/>
                <w:szCs w:val="24"/>
              </w:rPr>
              <w:t>с отработкой</w:t>
            </w:r>
            <w:r w:rsidR="00017EF0" w:rsidRPr="009458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мануальных навыков)</w:t>
            </w:r>
            <w:r w:rsidR="00017EF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17EF0" w:rsidRPr="003D77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34AFC" w:rsidRDefault="004661C9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предоставляет возможность усовершенствовать с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>уществующие теоретические знания, освоить новые методики и изучить передовой практический опыт по</w:t>
            </w:r>
            <w:r w:rsidR="0015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диагностике и лечению заболеваний</w:t>
            </w:r>
            <w:r w:rsidR="00177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слизистой оболочки рта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изучить 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принципы работы современных </w:t>
            </w:r>
            <w:r w:rsidR="00505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медицинских 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технологий и использовать для решения задач профессиональной деятельности; усвоить и закрепить на практике профессиональные знания, умения и навыки, 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обеспечивающие совершенствован</w:t>
            </w:r>
            <w:r w:rsidR="00ED5821">
              <w:rPr>
                <w:rFonts w:ascii="Times New Roman" w:hAnsi="Times New Roman" w:cs="Times New Roman"/>
                <w:sz w:val="24"/>
                <w:szCs w:val="24"/>
              </w:rPr>
              <w:t xml:space="preserve">ие профессиональных компетенций. </w:t>
            </w:r>
            <w:r w:rsidR="007762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Особое внимание уделено междисциплинарному подходу </w:t>
            </w:r>
            <w:r w:rsidR="007762A4" w:rsidRPr="0068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комплексного лечения стоматологиче</w:t>
            </w:r>
            <w:r w:rsidR="007762A4" w:rsidRPr="0068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пациентов</w:t>
            </w:r>
            <w:r w:rsidR="007762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01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рограмма состоит из </w:t>
            </w:r>
            <w:r w:rsidR="002522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модулей: </w:t>
            </w:r>
          </w:p>
          <w:p w:rsidR="00017EF0" w:rsidRDefault="00017EF0" w:rsidP="00152CB3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57A89">
              <w:rPr>
                <w:rFonts w:ascii="Times New Roman" w:hAnsi="Times New Roman" w:cs="Times New Roman"/>
                <w:b/>
              </w:rPr>
              <w:t xml:space="preserve"> Анатомо-физиологические особенности слизистой оболочки рта в норме и патологии</w:t>
            </w:r>
          </w:p>
          <w:p w:rsidR="00017EF0" w:rsidRDefault="00017EF0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F57A89">
              <w:rPr>
                <w:rFonts w:ascii="Times New Roman" w:hAnsi="Times New Roman" w:cs="Times New Roman"/>
                <w:b/>
                <w:bCs/>
              </w:rPr>
              <w:t xml:space="preserve">Клинико-лабораторные методы диагностики основных </w:t>
            </w:r>
            <w:r>
              <w:rPr>
                <w:rFonts w:ascii="Times New Roman" w:hAnsi="Times New Roman"/>
                <w:b/>
                <w:bCs/>
              </w:rPr>
              <w:t xml:space="preserve">и общие принципы лечения основных  </w:t>
            </w:r>
            <w:r w:rsidRPr="00F57A89">
              <w:rPr>
                <w:rFonts w:ascii="Times New Roman" w:hAnsi="Times New Roman" w:cs="Times New Roman"/>
                <w:b/>
                <w:bCs/>
              </w:rPr>
              <w:t xml:space="preserve">заболеваний </w:t>
            </w:r>
            <w:r>
              <w:rPr>
                <w:rFonts w:ascii="Times New Roman" w:hAnsi="Times New Roman"/>
                <w:b/>
                <w:bCs/>
              </w:rPr>
              <w:t>СОР</w:t>
            </w:r>
          </w:p>
          <w:p w:rsidR="004661C9" w:rsidRPr="003C5E74" w:rsidRDefault="0097799D" w:rsidP="0053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имеет степени доктора и кандидата медицинских</w:t>
            </w:r>
            <w:r w:rsidR="00E87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наук, имеет большой практический опыт работы и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C12A37" w:rsidRPr="004D021C" w:rsidRDefault="000A3638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по Программе направлены на совершенствование профессиональных компетенций в рамках имеющейся квалификации, качественное изменение которых осуществляется в результате обучения</w:t>
            </w:r>
            <w:r w:rsidR="00C12A37" w:rsidRPr="004D0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A37" w:rsidRPr="004D021C" w:rsidRDefault="00C12A37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E05166" w:rsidRPr="00E05166" w:rsidRDefault="00E05166" w:rsidP="00E202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166">
              <w:rPr>
                <w:rFonts w:ascii="Times New Roman" w:hAnsi="Times New Roman"/>
                <w:sz w:val="24"/>
                <w:szCs w:val="24"/>
              </w:rPr>
              <w:t xml:space="preserve">1. готовностью к сбору и анализу жалоб пациента, данных его анамнеза, результатов осмотра, лабораторных, инструментальных, </w:t>
            </w:r>
            <w:proofErr w:type="gramStart"/>
            <w:r w:rsidRPr="00E05166">
              <w:rPr>
                <w:rFonts w:ascii="Times New Roman" w:hAnsi="Times New Roman"/>
                <w:sz w:val="24"/>
                <w:szCs w:val="24"/>
              </w:rPr>
              <w:t>патолого-анатомических</w:t>
            </w:r>
            <w:proofErr w:type="gramEnd"/>
            <w:r w:rsidRPr="00E05166">
              <w:rPr>
                <w:rFonts w:ascii="Times New Roman" w:hAnsi="Times New Roman"/>
                <w:sz w:val="24"/>
                <w:szCs w:val="24"/>
              </w:rPr>
              <w:t xml:space="preserve"> и иных исследований в целях распознавания состояния или установления факта наличия или отсутствия стоматологического заболевания</w:t>
            </w:r>
          </w:p>
          <w:p w:rsidR="00E05166" w:rsidRPr="00E05166" w:rsidRDefault="00E20206" w:rsidP="00E051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05166" w:rsidRPr="00E05166">
              <w:rPr>
                <w:rFonts w:ascii="Times New Roman" w:hAnsi="Times New Roman"/>
                <w:sz w:val="24"/>
                <w:szCs w:val="24"/>
              </w:rPr>
              <w:t>. способность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E05166" w:rsidRPr="00E20206" w:rsidRDefault="00E20206" w:rsidP="00017E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05166" w:rsidRPr="00E05166">
              <w:rPr>
                <w:rFonts w:ascii="Times New Roman" w:hAnsi="Times New Roman"/>
                <w:sz w:val="24"/>
                <w:szCs w:val="24"/>
              </w:rPr>
              <w:t>.  способность к определению тактики ведения больных с заболеваниями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7EF0">
              <w:rPr>
                <w:rFonts w:ascii="Times New Roman" w:hAnsi="Times New Roman"/>
                <w:sz w:val="24"/>
                <w:szCs w:val="24"/>
              </w:rPr>
              <w:t xml:space="preserve"> СОР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E20206" w:rsidRDefault="00E2020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</w:t>
            </w:r>
          </w:p>
          <w:p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F4F49" w:rsidRPr="006411DF" w:rsidRDefault="002F4F49" w:rsidP="00E202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70CE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:rsidTr="007A687F">
        <w:trPr>
          <w:trHeight w:val="368"/>
        </w:trPr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4F4273" w:rsidRPr="00172CB0" w:rsidRDefault="0026001E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081D64" w:rsidRPr="00E65169" w:rsidRDefault="00081D64" w:rsidP="00F22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F22777">
              <w:rPr>
                <w:rFonts w:ascii="Times New Roman" w:hAnsi="Times New Roman"/>
                <w:sz w:val="24"/>
                <w:szCs w:val="24"/>
              </w:rPr>
              <w:t xml:space="preserve">клинической </w:t>
            </w:r>
            <w:r w:rsidR="00321F35">
              <w:rPr>
                <w:rFonts w:ascii="Times New Roman" w:hAnsi="Times New Roman"/>
                <w:sz w:val="24"/>
                <w:szCs w:val="24"/>
              </w:rPr>
              <w:t xml:space="preserve">стоматологии </w:t>
            </w:r>
          </w:p>
        </w:tc>
      </w:tr>
      <w:tr w:rsidR="00081D64" w:rsidRPr="00294CE8" w:rsidTr="003B4474">
        <w:trPr>
          <w:trHeight w:val="1470"/>
        </w:trPr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D43073" w:rsidP="005651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565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Чайковского, 27, ГСП№9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565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стоматологии общей практики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>СЗГМУ имени И.И. Мечникова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3A2C0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bookmarkStart w:id="0" w:name="_GoBack"/>
            <w:bookmarkEnd w:id="0"/>
            <w:r w:rsidR="003B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4A9A">
              <w:rPr>
                <w:rFonts w:ascii="Times New Roman" w:eastAsia="Calibri" w:hAnsi="Times New Roman" w:cs="Times New Roman"/>
                <w:sz w:val="24"/>
                <w:szCs w:val="24"/>
              </w:rPr>
              <w:t>– 2028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447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B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97184B" w:rsidP="00ED582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</w:t>
            </w:r>
            <w:r w:rsidR="00ED5821">
              <w:rPr>
                <w:rFonts w:eastAsia="Calibri"/>
              </w:rPr>
              <w:t xml:space="preserve">доцент </w:t>
            </w:r>
            <w:proofErr w:type="spellStart"/>
            <w:r w:rsidR="00ED5821">
              <w:rPr>
                <w:rFonts w:eastAsia="Calibri"/>
              </w:rPr>
              <w:t>Рубежов</w:t>
            </w:r>
            <w:proofErr w:type="spellEnd"/>
            <w:r w:rsidR="00ED5821">
              <w:rPr>
                <w:rFonts w:eastAsia="Calibri"/>
              </w:rPr>
              <w:t xml:space="preserve"> А.Л.</w:t>
            </w:r>
            <w:r w:rsidR="0056515D">
              <w:rPr>
                <w:rFonts w:eastAsia="Calibri"/>
              </w:rPr>
              <w:t xml:space="preserve">, </w:t>
            </w:r>
            <w:r w:rsidR="004F4273">
              <w:rPr>
                <w:rFonts w:eastAsia="Calibri"/>
              </w:rPr>
              <w:t>профессор</w:t>
            </w:r>
            <w:r w:rsidR="0056515D">
              <w:rPr>
                <w:rFonts w:eastAsia="Calibri"/>
              </w:rPr>
              <w:t xml:space="preserve"> Дрожжина В.А.</w:t>
            </w:r>
            <w:r w:rsidR="004F4273">
              <w:rPr>
                <w:rFonts w:eastAsia="Calibri"/>
              </w:rPr>
              <w:t xml:space="preserve">, </w:t>
            </w:r>
            <w:r w:rsidR="00ED5821">
              <w:rPr>
                <w:rFonts w:eastAsia="Calibri"/>
              </w:rPr>
              <w:t xml:space="preserve">профессор Чибисова М.А., </w:t>
            </w:r>
            <w:r>
              <w:rPr>
                <w:rFonts w:eastAsia="Calibri"/>
              </w:rPr>
              <w:t>доцент</w:t>
            </w:r>
            <w:r w:rsidR="0056515D">
              <w:rPr>
                <w:rFonts w:eastAsia="Calibri"/>
              </w:rPr>
              <w:t xml:space="preserve"> Гордеева В.А.</w:t>
            </w:r>
            <w:r>
              <w:rPr>
                <w:rFonts w:eastAsia="Calibri"/>
              </w:rPr>
              <w:t>, доцент</w:t>
            </w:r>
            <w:r w:rsidR="0056515D">
              <w:rPr>
                <w:rFonts w:eastAsia="Calibri"/>
              </w:rPr>
              <w:t xml:space="preserve"> Абрамова Н.Е., доцент</w:t>
            </w:r>
            <w:r w:rsidR="00ED5821">
              <w:rPr>
                <w:rFonts w:eastAsia="Calibri"/>
              </w:rPr>
              <w:t xml:space="preserve"> Шалак О.В.</w:t>
            </w:r>
            <w:r>
              <w:rPr>
                <w:rFonts w:eastAsia="Calibri"/>
              </w:rPr>
              <w:t xml:space="preserve">, </w:t>
            </w:r>
            <w:r w:rsidR="0056515D">
              <w:rPr>
                <w:rFonts w:eastAsia="Calibri"/>
              </w:rPr>
              <w:t xml:space="preserve">доцент </w:t>
            </w:r>
            <w:proofErr w:type="spellStart"/>
            <w:r w:rsidR="00ED5821">
              <w:rPr>
                <w:rFonts w:eastAsia="Calibri"/>
              </w:rPr>
              <w:t>Киброцашвили</w:t>
            </w:r>
            <w:proofErr w:type="spellEnd"/>
            <w:r w:rsidR="00ED5821">
              <w:rPr>
                <w:rFonts w:eastAsia="Calibri"/>
              </w:rPr>
              <w:t xml:space="preserve"> И.А.</w:t>
            </w:r>
            <w:r w:rsidR="0056515D">
              <w:rPr>
                <w:rFonts w:eastAsia="Calibri"/>
              </w:rPr>
              <w:t xml:space="preserve">, </w:t>
            </w:r>
            <w:r w:rsidR="00ED5821">
              <w:rPr>
                <w:rFonts w:eastAsia="Calibri"/>
              </w:rPr>
              <w:t>ассистент Медведева Е.Ю., ассистент Черновол Е.М., ассистент Донской А.Г.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321F3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3A2C0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акад.уч.часа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(0,2</w:t>
            </w:r>
            <w:r w:rsidR="00321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зет)</w:t>
            </w:r>
          </w:p>
        </w:tc>
      </w:tr>
      <w:tr w:rsidR="00081D64" w:rsidRPr="00294CE8" w:rsidTr="003A2C08">
        <w:trPr>
          <w:trHeight w:val="2139"/>
        </w:trPr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1D64" w:rsidRPr="006A1191" w:rsidRDefault="00E577E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A1191"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6A1191" w:rsidRPr="006A1191" w:rsidRDefault="006A1191" w:rsidP="006A11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11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A1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3D34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="00553D34">
              <w:rPr>
                <w:rFonts w:ascii="Times New Roman" w:hAnsi="Times New Roman"/>
                <w:sz w:val="24"/>
                <w:szCs w:val="24"/>
              </w:rPr>
              <w:t xml:space="preserve"> модель шаблон</w:t>
            </w:r>
          </w:p>
          <w:p w:rsidR="006A1191" w:rsidRDefault="006A119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7ED" w:rsidRPr="006411DF" w:rsidRDefault="00E577E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E20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F17732" w:rsidRPr="003A2C08" w:rsidRDefault="003A2C08" w:rsidP="00A30F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2C08">
              <w:rPr>
                <w:rFonts w:ascii="Times New Roman" w:hAnsi="Times New Roman"/>
                <w:sz w:val="20"/>
                <w:szCs w:val="20"/>
              </w:rPr>
              <w:t xml:space="preserve">Отработка практических навыков диагностики </w:t>
            </w:r>
            <w:proofErr w:type="gramStart"/>
            <w:r w:rsidRPr="003A2C08">
              <w:rPr>
                <w:rFonts w:ascii="Times New Roman" w:hAnsi="Times New Roman"/>
                <w:sz w:val="20"/>
                <w:szCs w:val="20"/>
              </w:rPr>
              <w:t>основных  заболеваний</w:t>
            </w:r>
            <w:proofErr w:type="gramEnd"/>
            <w:r w:rsidRPr="003A2C08">
              <w:rPr>
                <w:rFonts w:ascii="Times New Roman" w:hAnsi="Times New Roman"/>
                <w:sz w:val="20"/>
                <w:szCs w:val="20"/>
              </w:rPr>
              <w:t xml:space="preserve"> слизистой оболочки рта различной этиологии на </w:t>
            </w:r>
            <w:proofErr w:type="spellStart"/>
            <w:r w:rsidRPr="003A2C08">
              <w:rPr>
                <w:rFonts w:ascii="Times New Roman" w:hAnsi="Times New Roman"/>
                <w:sz w:val="20"/>
                <w:szCs w:val="20"/>
              </w:rPr>
              <w:t>симуляционных</w:t>
            </w:r>
            <w:proofErr w:type="spellEnd"/>
            <w:r w:rsidRPr="003A2C08">
              <w:rPr>
                <w:rFonts w:ascii="Times New Roman" w:hAnsi="Times New Roman"/>
                <w:sz w:val="20"/>
                <w:szCs w:val="20"/>
              </w:rPr>
              <w:t xml:space="preserve"> моделях -  шаблонах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081D64" w:rsidRPr="003A2C08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C0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081D64" w:rsidRPr="003A2C08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C0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3A2C08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C0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3A2C08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C0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3A2C08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C0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3A2C08" w:rsidRPr="003A2C08" w:rsidRDefault="003A2C08" w:rsidP="003A2C0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C08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Дистанционно</w:t>
            </w:r>
          </w:p>
          <w:p w:rsidR="00081D64" w:rsidRPr="003A2C08" w:rsidRDefault="003A2C08" w:rsidP="003A2C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C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Реализуется в ЭОС </w:t>
            </w:r>
            <w:proofErr w:type="spellStart"/>
            <w:r w:rsidRPr="003A2C08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Универитета</w:t>
            </w:r>
            <w:proofErr w:type="spellEnd"/>
            <w:r w:rsidRPr="003A2C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системе </w:t>
            </w:r>
            <w:proofErr w:type="spellStart"/>
            <w:r w:rsidRPr="003A2C08"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3A2C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2C08">
              <w:rPr>
                <w:rFonts w:ascii="Times New Roman" w:eastAsia="Times New Roman" w:hAnsi="Times New Roman" w:cs="Times New Roman"/>
                <w:sz w:val="20"/>
                <w:szCs w:val="20"/>
              </w:rPr>
              <w:t>https://sdo.szgmu.ru .</w:t>
            </w:r>
            <w:proofErr w:type="gramEnd"/>
            <w:r w:rsidRPr="003A2C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Обратная связь осуществляется с помощью форума на площадке кафедры, позволяющего обсуждение вопросов как между обучающимися, так и обучающийся - преподаватель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3A2C0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017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(0,4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зет)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1D64" w:rsidRPr="006411DF" w:rsidRDefault="00081D64" w:rsidP="003674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081D64" w:rsidRPr="0046084A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="001625B0"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8655E"/>
    <w:multiLevelType w:val="hybridMultilevel"/>
    <w:tmpl w:val="B7BAF84E"/>
    <w:lvl w:ilvl="0" w:tplc="C8F2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017EF0"/>
    <w:rsid w:val="0006247E"/>
    <w:rsid w:val="00070CE0"/>
    <w:rsid w:val="00081D64"/>
    <w:rsid w:val="00095922"/>
    <w:rsid w:val="000A3638"/>
    <w:rsid w:val="000C0EC8"/>
    <w:rsid w:val="000D0235"/>
    <w:rsid w:val="000D3922"/>
    <w:rsid w:val="00101D12"/>
    <w:rsid w:val="00102286"/>
    <w:rsid w:val="00152CB3"/>
    <w:rsid w:val="001625B0"/>
    <w:rsid w:val="00177AD0"/>
    <w:rsid w:val="001940EA"/>
    <w:rsid w:val="001A5B25"/>
    <w:rsid w:val="001F62AA"/>
    <w:rsid w:val="00252252"/>
    <w:rsid w:val="0026001E"/>
    <w:rsid w:val="00287BCD"/>
    <w:rsid w:val="00292F42"/>
    <w:rsid w:val="002A2056"/>
    <w:rsid w:val="002A7F6F"/>
    <w:rsid w:val="002E769F"/>
    <w:rsid w:val="002F4F49"/>
    <w:rsid w:val="003002BB"/>
    <w:rsid w:val="00321F35"/>
    <w:rsid w:val="00347DEE"/>
    <w:rsid w:val="00367433"/>
    <w:rsid w:val="003A2C08"/>
    <w:rsid w:val="003B4474"/>
    <w:rsid w:val="003C5E74"/>
    <w:rsid w:val="003D7971"/>
    <w:rsid w:val="003F01CD"/>
    <w:rsid w:val="00455E60"/>
    <w:rsid w:val="0046084A"/>
    <w:rsid w:val="004661C9"/>
    <w:rsid w:val="00481743"/>
    <w:rsid w:val="004946D1"/>
    <w:rsid w:val="004977D6"/>
    <w:rsid w:val="004B2104"/>
    <w:rsid w:val="004C1175"/>
    <w:rsid w:val="004C7665"/>
    <w:rsid w:val="004D021C"/>
    <w:rsid w:val="004E0427"/>
    <w:rsid w:val="004F4273"/>
    <w:rsid w:val="00505097"/>
    <w:rsid w:val="00534AFC"/>
    <w:rsid w:val="005361EE"/>
    <w:rsid w:val="005529EC"/>
    <w:rsid w:val="00553D34"/>
    <w:rsid w:val="0056515D"/>
    <w:rsid w:val="005A2309"/>
    <w:rsid w:val="005A4E96"/>
    <w:rsid w:val="005D3AD8"/>
    <w:rsid w:val="005F3CBB"/>
    <w:rsid w:val="00605551"/>
    <w:rsid w:val="00617ACD"/>
    <w:rsid w:val="00623E67"/>
    <w:rsid w:val="006246DA"/>
    <w:rsid w:val="00640559"/>
    <w:rsid w:val="006411DF"/>
    <w:rsid w:val="0064763F"/>
    <w:rsid w:val="00666D28"/>
    <w:rsid w:val="0067557B"/>
    <w:rsid w:val="00684CC5"/>
    <w:rsid w:val="006A1191"/>
    <w:rsid w:val="006D1303"/>
    <w:rsid w:val="006D6347"/>
    <w:rsid w:val="0070524F"/>
    <w:rsid w:val="007465EB"/>
    <w:rsid w:val="00761043"/>
    <w:rsid w:val="007762A4"/>
    <w:rsid w:val="00784F26"/>
    <w:rsid w:val="007A687F"/>
    <w:rsid w:val="007B2106"/>
    <w:rsid w:val="007C29B2"/>
    <w:rsid w:val="007F6C63"/>
    <w:rsid w:val="00800AB4"/>
    <w:rsid w:val="0084793C"/>
    <w:rsid w:val="00862491"/>
    <w:rsid w:val="008C7A28"/>
    <w:rsid w:val="008E23D1"/>
    <w:rsid w:val="008E3EDA"/>
    <w:rsid w:val="00930BFD"/>
    <w:rsid w:val="009468AC"/>
    <w:rsid w:val="00953AAA"/>
    <w:rsid w:val="00955F25"/>
    <w:rsid w:val="00961738"/>
    <w:rsid w:val="0097184B"/>
    <w:rsid w:val="0097799D"/>
    <w:rsid w:val="009D7B66"/>
    <w:rsid w:val="009F0ACD"/>
    <w:rsid w:val="00A117C6"/>
    <w:rsid w:val="00A22AE2"/>
    <w:rsid w:val="00A24E2C"/>
    <w:rsid w:val="00A30FF6"/>
    <w:rsid w:val="00A9653B"/>
    <w:rsid w:val="00AA0B63"/>
    <w:rsid w:val="00AD62E0"/>
    <w:rsid w:val="00B24B68"/>
    <w:rsid w:val="00B26ED0"/>
    <w:rsid w:val="00B914E6"/>
    <w:rsid w:val="00BB7FF4"/>
    <w:rsid w:val="00C03519"/>
    <w:rsid w:val="00C12A37"/>
    <w:rsid w:val="00C67516"/>
    <w:rsid w:val="00C7099B"/>
    <w:rsid w:val="00D0192C"/>
    <w:rsid w:val="00D0353F"/>
    <w:rsid w:val="00D43073"/>
    <w:rsid w:val="00D514BD"/>
    <w:rsid w:val="00D62988"/>
    <w:rsid w:val="00D87154"/>
    <w:rsid w:val="00DB4438"/>
    <w:rsid w:val="00DB6008"/>
    <w:rsid w:val="00E05166"/>
    <w:rsid w:val="00E20206"/>
    <w:rsid w:val="00E24F03"/>
    <w:rsid w:val="00E31756"/>
    <w:rsid w:val="00E577ED"/>
    <w:rsid w:val="00E875A0"/>
    <w:rsid w:val="00EB1584"/>
    <w:rsid w:val="00ED5821"/>
    <w:rsid w:val="00F154EF"/>
    <w:rsid w:val="00F17732"/>
    <w:rsid w:val="00F22777"/>
    <w:rsid w:val="00F3042A"/>
    <w:rsid w:val="00F67209"/>
    <w:rsid w:val="00FB4A9A"/>
    <w:rsid w:val="00FB6B07"/>
    <w:rsid w:val="00FC01E6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C870D-704C-4FA6-B5AF-34374777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paragraph" w:styleId="6">
    <w:name w:val="heading 6"/>
    <w:aliases w:val="Знак5 Знак"/>
    <w:basedOn w:val="a"/>
    <w:next w:val="a"/>
    <w:link w:val="60"/>
    <w:uiPriority w:val="99"/>
    <w:qFormat/>
    <w:rsid w:val="008E23D1"/>
    <w:pPr>
      <w:keepNext/>
      <w:keepLines/>
      <w:widowControl w:val="0"/>
      <w:spacing w:before="200" w:after="0" w:line="240" w:lineRule="auto"/>
      <w:outlineLvl w:val="5"/>
    </w:pPr>
    <w:rPr>
      <w:rFonts w:ascii="Cambria" w:eastAsia="Times New Roman" w:hAnsi="Cambria" w:cs="Times New Roman"/>
      <w:i/>
      <w:color w:val="243F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  <w:style w:type="character" w:customStyle="1" w:styleId="60">
    <w:name w:val="Заголовок 6 Знак"/>
    <w:aliases w:val="Знак5 Знак Знак"/>
    <w:basedOn w:val="a0"/>
    <w:link w:val="6"/>
    <w:uiPriority w:val="99"/>
    <w:rsid w:val="008E23D1"/>
    <w:rPr>
      <w:rFonts w:ascii="Cambria" w:eastAsia="Times New Roman" w:hAnsi="Cambria" w:cs="Times New Roman"/>
      <w:i/>
      <w:color w:val="243F6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Гордеева Вера Анатольевна</cp:lastModifiedBy>
  <cp:revision>2</cp:revision>
  <cp:lastPrinted>2022-02-10T09:58:00Z</cp:lastPrinted>
  <dcterms:created xsi:type="dcterms:W3CDTF">2024-02-12T07:51:00Z</dcterms:created>
  <dcterms:modified xsi:type="dcterms:W3CDTF">2024-02-12T07:51:00Z</dcterms:modified>
</cp:coreProperties>
</file>